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7D7154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653044" r:id="rId9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15" w:rsidRPr="00BC31B4" w:rsidRDefault="00627315" w:rsidP="00E15D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7315" w:rsidRPr="00B33C8E" w:rsidRDefault="00627315" w:rsidP="00E15D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627315" w:rsidRPr="00B33C8E" w:rsidRDefault="00627315" w:rsidP="00E15D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27315" w:rsidRDefault="00627315" w:rsidP="00E15D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27315" w:rsidRPr="00BC31B4" w:rsidRDefault="00627315" w:rsidP="00E15D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7315" w:rsidRPr="00B33C8E" w:rsidRDefault="00627315" w:rsidP="00E15D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627315" w:rsidRPr="00B33C8E" w:rsidRDefault="00627315" w:rsidP="00E15D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27315" w:rsidRDefault="00627315" w:rsidP="00E15D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 w:rsidRPr="00A14A0C">
        <w:t>П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</w:t>
      </w:r>
      <w:r w:rsidR="00BF4DC5" w:rsidRPr="00A14A0C">
        <w:rPr>
          <w:b/>
        </w:rPr>
        <w:t>О</w:t>
      </w:r>
      <w:r w:rsidRPr="00A14A0C">
        <w:rPr>
          <w:b/>
        </w:rPr>
        <w:t>т</w:t>
      </w:r>
      <w:r w:rsidR="00BF4DC5">
        <w:rPr>
          <w:b/>
        </w:rPr>
        <w:t xml:space="preserve"> 29 декабря 2019 года  </w:t>
      </w:r>
      <w:r w:rsidR="00DE1CE4">
        <w:rPr>
          <w:b/>
        </w:rPr>
        <w:t>№ 45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8F1EF6"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8F1EF6">
        <w:rPr>
          <w:sz w:val="28"/>
        </w:rPr>
        <w:t>Кандабулак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8F1EF6">
        <w:rPr>
          <w:sz w:val="28"/>
        </w:rPr>
        <w:t>Кандабулак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BF4DC5" w:rsidRDefault="00BF4DC5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F1EF6">
        <w:rPr>
          <w:rFonts w:ascii="Times New Roman" w:hAnsi="Times New Roman" w:cs="Tahoma"/>
          <w:bCs/>
          <w:sz w:val="28"/>
        </w:rPr>
        <w:t>Кандабулак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8F1EF6">
        <w:rPr>
          <w:sz w:val="28"/>
          <w:szCs w:val="28"/>
        </w:rPr>
        <w:t>Мартынов А.А.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F85C79"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627315">
        <w:tc>
          <w:tcPr>
            <w:tcW w:w="5044" w:type="dxa"/>
            <w:shd w:val="clear" w:color="auto" w:fill="auto"/>
          </w:tcPr>
          <w:p w:rsidR="00E15D88" w:rsidRPr="00A14A0C" w:rsidRDefault="00E15D88" w:rsidP="0062731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E15D88" w:rsidRPr="00A14A0C" w:rsidRDefault="00E15D88" w:rsidP="0062731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8F1EF6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Кандабулак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DE1CE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№</w:t>
            </w:r>
            <w:r w:rsidR="00DE1CE4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45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от  </w:t>
            </w:r>
            <w:r w:rsidR="00BF4DC5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29.12.2018 г.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8F1EF6">
        <w:rPr>
          <w:b/>
          <w:sz w:val="28"/>
          <w:szCs w:val="28"/>
        </w:rPr>
        <w:t>Кандабулак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627315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BF4DC5" w:rsidP="006273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="00E15D88"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BF4DC5" w:rsidP="0062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15D88" w:rsidRPr="00A14A0C">
              <w:rPr>
                <w:sz w:val="28"/>
                <w:szCs w:val="28"/>
              </w:rPr>
              <w:t xml:space="preserve">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BF4DC5" w:rsidP="001E1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E137D" w:rsidRPr="00A14A0C">
              <w:rPr>
                <w:sz w:val="28"/>
                <w:szCs w:val="28"/>
              </w:rPr>
              <w:t xml:space="preserve">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BF4DC5" w:rsidP="001E1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E137D" w:rsidRPr="00A14A0C">
              <w:rPr>
                <w:sz w:val="28"/>
                <w:szCs w:val="28"/>
              </w:rPr>
              <w:t xml:space="preserve">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BF4DC5" w:rsidP="001E1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1E137D" w:rsidRPr="00A14A0C">
              <w:rPr>
                <w:sz w:val="28"/>
                <w:szCs w:val="28"/>
              </w:rPr>
              <w:t xml:space="preserve">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BF4DC5" w:rsidP="001E1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E137D" w:rsidRPr="00A14A0C">
              <w:rPr>
                <w:sz w:val="28"/>
                <w:szCs w:val="28"/>
              </w:rPr>
              <w:t xml:space="preserve">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м.р. Сергиевский</w:t>
            </w:r>
          </w:p>
        </w:tc>
      </w:tr>
      <w:tr w:rsidR="00E15D88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627315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. Планируемый </w:t>
            </w:r>
            <w:r w:rsidRPr="00627315">
              <w:rPr>
                <w:sz w:val="28"/>
                <w:szCs w:val="28"/>
              </w:rPr>
              <w:t xml:space="preserve">общий объем финансирования Программы  составит  </w:t>
            </w:r>
            <w:r w:rsidR="00627315" w:rsidRPr="00627315">
              <w:rPr>
                <w:sz w:val="28"/>
                <w:szCs w:val="28"/>
              </w:rPr>
              <w:t>2 613,85439</w:t>
            </w:r>
            <w:r w:rsidRPr="00627315">
              <w:rPr>
                <w:sz w:val="28"/>
                <w:szCs w:val="28"/>
              </w:rPr>
              <w:t xml:space="preserve"> </w:t>
            </w:r>
            <w:r w:rsidR="0080308F">
              <w:rPr>
                <w:sz w:val="28"/>
                <w:szCs w:val="28"/>
              </w:rPr>
              <w:t>тыс.</w:t>
            </w:r>
            <w:r w:rsidRPr="00627315">
              <w:rPr>
                <w:sz w:val="28"/>
                <w:szCs w:val="28"/>
              </w:rPr>
              <w:t>рублей, в т.ч.:</w:t>
            </w:r>
          </w:p>
          <w:p w:rsidR="00605911" w:rsidRPr="00627315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27315">
              <w:rPr>
                <w:sz w:val="28"/>
                <w:szCs w:val="28"/>
              </w:rPr>
              <w:t xml:space="preserve">2019 г. – </w:t>
            </w:r>
            <w:r w:rsidR="00627315" w:rsidRPr="00627315">
              <w:rPr>
                <w:sz w:val="28"/>
                <w:szCs w:val="28"/>
              </w:rPr>
              <w:t>1 303,34073</w:t>
            </w:r>
            <w:r w:rsidRPr="00627315">
              <w:rPr>
                <w:sz w:val="28"/>
                <w:szCs w:val="28"/>
              </w:rPr>
              <w:t xml:space="preserve"> </w:t>
            </w:r>
            <w:r w:rsidR="0080308F">
              <w:rPr>
                <w:sz w:val="28"/>
                <w:szCs w:val="28"/>
              </w:rPr>
              <w:t>тыс.</w:t>
            </w:r>
            <w:r w:rsidRPr="00627315">
              <w:rPr>
                <w:sz w:val="28"/>
                <w:szCs w:val="28"/>
              </w:rPr>
              <w:t>рублей.</w:t>
            </w:r>
          </w:p>
          <w:p w:rsidR="00605911" w:rsidRPr="00627315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27315">
              <w:rPr>
                <w:sz w:val="28"/>
                <w:szCs w:val="28"/>
              </w:rPr>
              <w:t xml:space="preserve">2020г. – </w:t>
            </w:r>
            <w:r w:rsidR="00627315" w:rsidRPr="00627315">
              <w:rPr>
                <w:sz w:val="28"/>
                <w:szCs w:val="28"/>
              </w:rPr>
              <w:t>655,25683</w:t>
            </w:r>
            <w:r w:rsidR="0080308F">
              <w:rPr>
                <w:sz w:val="28"/>
                <w:szCs w:val="28"/>
              </w:rPr>
              <w:t xml:space="preserve"> тыс.</w:t>
            </w:r>
            <w:r w:rsidRPr="00627315">
              <w:rPr>
                <w:sz w:val="28"/>
                <w:szCs w:val="28"/>
              </w:rPr>
              <w:t>рублей (прогноз).</w:t>
            </w:r>
          </w:p>
          <w:p w:rsidR="00E15D88" w:rsidRPr="00A14A0C" w:rsidRDefault="00605911" w:rsidP="00627315">
            <w:pPr>
              <w:jc w:val="both"/>
              <w:rPr>
                <w:sz w:val="28"/>
                <w:szCs w:val="28"/>
              </w:rPr>
            </w:pPr>
            <w:r w:rsidRPr="00627315">
              <w:rPr>
                <w:sz w:val="28"/>
                <w:szCs w:val="28"/>
              </w:rPr>
              <w:t xml:space="preserve">2021г. – </w:t>
            </w:r>
            <w:r w:rsidR="00627315" w:rsidRPr="00627315">
              <w:rPr>
                <w:sz w:val="28"/>
                <w:szCs w:val="28"/>
              </w:rPr>
              <w:t>655,25683</w:t>
            </w:r>
            <w:r w:rsidRPr="00627315">
              <w:rPr>
                <w:sz w:val="28"/>
                <w:szCs w:val="28"/>
              </w:rPr>
              <w:t xml:space="preserve"> </w:t>
            </w:r>
            <w:r w:rsidR="0080308F">
              <w:rPr>
                <w:sz w:val="28"/>
                <w:szCs w:val="28"/>
              </w:rPr>
              <w:t>тыс.</w:t>
            </w:r>
            <w:r w:rsidRPr="00627315">
              <w:rPr>
                <w:sz w:val="28"/>
                <w:szCs w:val="28"/>
              </w:rPr>
              <w:t>рублей (прогноз)</w:t>
            </w:r>
            <w:r w:rsidR="00E15D88" w:rsidRPr="00627315">
              <w:rPr>
                <w:sz w:val="28"/>
                <w:szCs w:val="28"/>
              </w:rPr>
              <w:t>.</w:t>
            </w:r>
          </w:p>
        </w:tc>
      </w:tr>
      <w:tr w:rsidR="00605911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627315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27315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8F1EF6">
              <w:rPr>
                <w:sz w:val="28"/>
                <w:szCs w:val="28"/>
              </w:rPr>
              <w:t>Кандабулак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Финансово</w:t>
      </w:r>
      <w:r w:rsidR="00BF4DC5">
        <w:rPr>
          <w:sz w:val="28"/>
          <w:szCs w:val="28"/>
        </w:rPr>
        <w:t>-</w:t>
      </w:r>
      <w:r w:rsidRPr="00A14A0C">
        <w:rPr>
          <w:sz w:val="28"/>
          <w:szCs w:val="28"/>
        </w:rPr>
        <w:t>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627315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8F1EF6">
        <w:rPr>
          <w:sz w:val="28"/>
          <w:szCs w:val="28"/>
        </w:rPr>
        <w:t>Кандабулак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627315">
        <w:tc>
          <w:tcPr>
            <w:tcW w:w="675" w:type="dxa"/>
            <w:vMerge w:val="restart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627315">
        <w:tc>
          <w:tcPr>
            <w:tcW w:w="675" w:type="dxa"/>
            <w:vMerge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627315">
        <w:tc>
          <w:tcPr>
            <w:tcW w:w="675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627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27315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 xml:space="preserve">Критерий благоустроенности (Кбл) – отражает увеличение объемов финансовых вложений в развитие и содержание благоустройства территории сельского 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м.р.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653043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О1 -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О2 -фактический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Ч1 -численность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Ч2 -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627315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>Затраты на реализацию мероприятий,</w:t>
            </w:r>
            <w:r w:rsidR="0080308F">
              <w:t xml:space="preserve"> тыс.</w:t>
            </w:r>
            <w:r w:rsidRPr="00A14A0C">
              <w:t xml:space="preserve"> рублей</w:t>
            </w:r>
          </w:p>
        </w:tc>
      </w:tr>
      <w:tr w:rsidR="00783A7F" w:rsidRPr="00A14A0C" w:rsidTr="00627315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627315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627315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627315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>
              <w:t>510,11000</w:t>
            </w:r>
          </w:p>
        </w:tc>
        <w:tc>
          <w:tcPr>
            <w:tcW w:w="195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>
              <w:t>510,11000</w:t>
            </w:r>
          </w:p>
        </w:tc>
      </w:tr>
      <w:tr w:rsidR="00783A7F" w:rsidRPr="00A14A0C" w:rsidTr="00627315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116,27380</w:t>
            </w:r>
          </w:p>
        </w:tc>
        <w:tc>
          <w:tcPr>
            <w:tcW w:w="1843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100,63565</w:t>
            </w:r>
          </w:p>
        </w:tc>
        <w:tc>
          <w:tcPr>
            <w:tcW w:w="195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100,63565</w:t>
            </w:r>
          </w:p>
        </w:tc>
      </w:tr>
      <w:tr w:rsidR="00783A7F" w:rsidRPr="00A14A0C" w:rsidTr="00627315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44,51118</w:t>
            </w:r>
          </w:p>
        </w:tc>
        <w:tc>
          <w:tcPr>
            <w:tcW w:w="1843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44,51118</w:t>
            </w:r>
          </w:p>
        </w:tc>
        <w:tc>
          <w:tcPr>
            <w:tcW w:w="195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44,51118</w:t>
            </w:r>
          </w:p>
        </w:tc>
      </w:tr>
      <w:tr w:rsidR="00783A7F" w:rsidRPr="00A14A0C" w:rsidTr="00627315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</w:pPr>
            <w:r w:rsidRPr="00A14A0C">
              <w:t>Бак. анализ воды</w:t>
            </w:r>
          </w:p>
        </w:tc>
        <w:tc>
          <w:tcPr>
            <w:tcW w:w="1985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</w:pPr>
            <w:r w:rsidRPr="00627315">
              <w:t>-</w:t>
            </w:r>
          </w:p>
        </w:tc>
        <w:tc>
          <w:tcPr>
            <w:tcW w:w="1843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</w:pPr>
            <w:r w:rsidRPr="00627315">
              <w:t>-</w:t>
            </w:r>
          </w:p>
        </w:tc>
        <w:tc>
          <w:tcPr>
            <w:tcW w:w="1955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</w:pPr>
            <w:r w:rsidRPr="00627315">
              <w:t>-</w:t>
            </w:r>
          </w:p>
        </w:tc>
      </w:tr>
      <w:tr w:rsidR="00783A7F" w:rsidRPr="00A14A0C" w:rsidTr="00627315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27315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</w:pPr>
            <w:r>
              <w:t>49,32600</w:t>
            </w:r>
          </w:p>
        </w:tc>
        <w:tc>
          <w:tcPr>
            <w:tcW w:w="1843" w:type="dxa"/>
            <w:vAlign w:val="center"/>
          </w:tcPr>
          <w:p w:rsidR="00783A7F" w:rsidRPr="00627315" w:rsidRDefault="00E6049C" w:rsidP="0062731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3A7F" w:rsidRPr="00627315" w:rsidRDefault="00E6049C" w:rsidP="00627315">
            <w:pPr>
              <w:snapToGrid w:val="0"/>
              <w:jc w:val="center"/>
            </w:pPr>
            <w:r>
              <w:t>0,00</w:t>
            </w:r>
          </w:p>
        </w:tc>
      </w:tr>
      <w:tr w:rsidR="00783A7F" w:rsidRPr="00A14A0C" w:rsidTr="00627315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502,34073</w:t>
            </w:r>
          </w:p>
        </w:tc>
        <w:tc>
          <w:tcPr>
            <w:tcW w:w="1843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  <w:rPr>
                <w:b/>
              </w:rPr>
            </w:pPr>
            <w:r w:rsidRPr="00627315">
              <w:rPr>
                <w:b/>
              </w:rPr>
              <w:t>655,25683</w:t>
            </w:r>
          </w:p>
        </w:tc>
        <w:tc>
          <w:tcPr>
            <w:tcW w:w="1955" w:type="dxa"/>
            <w:vAlign w:val="center"/>
          </w:tcPr>
          <w:p w:rsidR="00783A7F" w:rsidRPr="00627315" w:rsidRDefault="00627315" w:rsidP="00627315">
            <w:pPr>
              <w:snapToGrid w:val="0"/>
              <w:jc w:val="center"/>
              <w:rPr>
                <w:b/>
              </w:rPr>
            </w:pPr>
            <w:r w:rsidRPr="00627315">
              <w:rPr>
                <w:b/>
              </w:rPr>
              <w:t>655,25683</w:t>
            </w:r>
          </w:p>
        </w:tc>
      </w:tr>
      <w:tr w:rsidR="00783A7F" w:rsidRPr="00A14A0C" w:rsidTr="00627315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627315" w:rsidRDefault="00627315" w:rsidP="00627315">
            <w:pPr>
              <w:snapToGrid w:val="0"/>
              <w:jc w:val="center"/>
            </w:pPr>
            <w:r w:rsidRPr="00627315">
              <w:t>801</w:t>
            </w:r>
            <w:r w:rsidR="00783A7F" w:rsidRPr="00627315">
              <w:t>,00000</w:t>
            </w:r>
          </w:p>
        </w:tc>
        <w:tc>
          <w:tcPr>
            <w:tcW w:w="1843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</w:pPr>
            <w:r w:rsidRPr="00627315">
              <w:t>-</w:t>
            </w:r>
          </w:p>
        </w:tc>
        <w:tc>
          <w:tcPr>
            <w:tcW w:w="1955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</w:pPr>
            <w:r w:rsidRPr="00627315">
              <w:t>-</w:t>
            </w:r>
          </w:p>
        </w:tc>
      </w:tr>
      <w:tr w:rsidR="00783A7F" w:rsidRPr="00A14A0C" w:rsidTr="00627315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27315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627315" w:rsidRDefault="00627315" w:rsidP="00627315">
            <w:pPr>
              <w:snapToGrid w:val="0"/>
              <w:jc w:val="center"/>
              <w:rPr>
                <w:b/>
              </w:rPr>
            </w:pPr>
            <w:r w:rsidRPr="00627315">
              <w:rPr>
                <w:b/>
              </w:rPr>
              <w:t>801</w:t>
            </w:r>
            <w:r w:rsidR="00783A7F" w:rsidRPr="00627315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  <w:rPr>
                <w:b/>
              </w:rPr>
            </w:pPr>
            <w:r w:rsidRPr="00627315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627315" w:rsidRDefault="00783A7F" w:rsidP="00627315">
            <w:pPr>
              <w:snapToGrid w:val="0"/>
              <w:jc w:val="center"/>
              <w:rPr>
                <w:b/>
              </w:rPr>
            </w:pPr>
            <w:r w:rsidRPr="00627315">
              <w:rPr>
                <w:b/>
              </w:rPr>
              <w:t>0,00000</w:t>
            </w:r>
          </w:p>
        </w:tc>
      </w:tr>
      <w:tr w:rsidR="00783A7F" w:rsidRPr="00A14A0C" w:rsidTr="00627315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627315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E6049C" w:rsidRDefault="00627315" w:rsidP="00627315">
            <w:pPr>
              <w:snapToGrid w:val="0"/>
              <w:jc w:val="center"/>
              <w:rPr>
                <w:b/>
              </w:rPr>
            </w:pPr>
            <w:r w:rsidRPr="00E6049C">
              <w:rPr>
                <w:b/>
              </w:rPr>
              <w:t>1 303,34073</w:t>
            </w:r>
          </w:p>
        </w:tc>
        <w:tc>
          <w:tcPr>
            <w:tcW w:w="1843" w:type="dxa"/>
            <w:vAlign w:val="center"/>
          </w:tcPr>
          <w:p w:rsidR="00783A7F" w:rsidRPr="00E6049C" w:rsidRDefault="00E6049C" w:rsidP="00E6049C">
            <w:pPr>
              <w:snapToGrid w:val="0"/>
              <w:jc w:val="center"/>
              <w:rPr>
                <w:b/>
              </w:rPr>
            </w:pPr>
            <w:r w:rsidRPr="00E6049C">
              <w:rPr>
                <w:b/>
              </w:rPr>
              <w:t>655,2568</w:t>
            </w:r>
            <w:r>
              <w:rPr>
                <w:b/>
              </w:rPr>
              <w:t>3</w:t>
            </w:r>
          </w:p>
        </w:tc>
        <w:tc>
          <w:tcPr>
            <w:tcW w:w="1955" w:type="dxa"/>
            <w:vAlign w:val="center"/>
          </w:tcPr>
          <w:p w:rsidR="00783A7F" w:rsidRPr="00E6049C" w:rsidRDefault="00E6049C" w:rsidP="00E6049C">
            <w:pPr>
              <w:snapToGrid w:val="0"/>
              <w:jc w:val="center"/>
              <w:rPr>
                <w:b/>
              </w:rPr>
            </w:pPr>
            <w:r w:rsidRPr="00E6049C">
              <w:rPr>
                <w:b/>
              </w:rPr>
              <w:t>655,2568</w:t>
            </w:r>
            <w:r>
              <w:rPr>
                <w:b/>
              </w:rPr>
              <w:t>3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E6049C" w:rsidRDefault="00E6049C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049C" w:rsidRDefault="00E6049C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E6049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E6049C" w:rsidRPr="00E6049C">
        <w:rPr>
          <w:sz w:val="28"/>
          <w:szCs w:val="28"/>
        </w:rPr>
        <w:t>2 613,8543</w:t>
      </w:r>
      <w:r w:rsidR="00E6049C">
        <w:rPr>
          <w:sz w:val="28"/>
          <w:szCs w:val="28"/>
        </w:rPr>
        <w:t>9</w:t>
      </w:r>
      <w:r w:rsidRPr="00E6049C">
        <w:rPr>
          <w:sz w:val="28"/>
          <w:szCs w:val="28"/>
        </w:rPr>
        <w:t xml:space="preserve"> тыс. рублей, в том числе по годам:</w:t>
      </w:r>
    </w:p>
    <w:p w:rsidR="00E15D88" w:rsidRPr="00E6049C" w:rsidRDefault="00E15D88" w:rsidP="00E15D88">
      <w:pPr>
        <w:jc w:val="both"/>
        <w:rPr>
          <w:sz w:val="28"/>
          <w:szCs w:val="28"/>
        </w:rPr>
      </w:pPr>
      <w:r w:rsidRPr="00E6049C">
        <w:rPr>
          <w:sz w:val="28"/>
          <w:szCs w:val="28"/>
        </w:rPr>
        <w:t xml:space="preserve"> </w:t>
      </w:r>
      <w:r w:rsidRPr="00E6049C">
        <w:rPr>
          <w:sz w:val="28"/>
          <w:szCs w:val="28"/>
        </w:rPr>
        <w:tab/>
        <w:t>- на 201</w:t>
      </w:r>
      <w:r w:rsidR="00C55CE7" w:rsidRPr="00E6049C">
        <w:rPr>
          <w:sz w:val="28"/>
          <w:szCs w:val="28"/>
        </w:rPr>
        <w:t>9</w:t>
      </w:r>
      <w:r w:rsidRPr="00E6049C">
        <w:rPr>
          <w:sz w:val="28"/>
          <w:szCs w:val="28"/>
        </w:rPr>
        <w:t xml:space="preserve"> год – </w:t>
      </w:r>
      <w:r w:rsidR="00E6049C" w:rsidRPr="00E6049C">
        <w:rPr>
          <w:sz w:val="28"/>
          <w:szCs w:val="28"/>
        </w:rPr>
        <w:t>1 303,34073</w:t>
      </w:r>
      <w:r w:rsidRPr="00E6049C">
        <w:rPr>
          <w:sz w:val="28"/>
          <w:szCs w:val="28"/>
        </w:rPr>
        <w:t xml:space="preserve"> тыс. рублей;</w:t>
      </w:r>
    </w:p>
    <w:p w:rsidR="00E15D88" w:rsidRPr="00E6049C" w:rsidRDefault="00E15D88" w:rsidP="00E15D88">
      <w:pPr>
        <w:jc w:val="both"/>
        <w:rPr>
          <w:sz w:val="28"/>
          <w:szCs w:val="28"/>
        </w:rPr>
      </w:pPr>
      <w:r w:rsidRPr="00E6049C">
        <w:rPr>
          <w:sz w:val="28"/>
          <w:szCs w:val="28"/>
        </w:rPr>
        <w:tab/>
        <w:t>- на 20</w:t>
      </w:r>
      <w:r w:rsidR="00C55CE7" w:rsidRPr="00E6049C">
        <w:rPr>
          <w:sz w:val="28"/>
          <w:szCs w:val="28"/>
        </w:rPr>
        <w:t>20</w:t>
      </w:r>
      <w:r w:rsidRPr="00E6049C">
        <w:rPr>
          <w:sz w:val="28"/>
          <w:szCs w:val="28"/>
        </w:rPr>
        <w:t xml:space="preserve"> год – </w:t>
      </w:r>
      <w:r w:rsidR="00E6049C" w:rsidRPr="00E6049C">
        <w:rPr>
          <w:sz w:val="28"/>
          <w:szCs w:val="28"/>
        </w:rPr>
        <w:t>655,2568</w:t>
      </w:r>
      <w:r w:rsidR="00E6049C">
        <w:rPr>
          <w:sz w:val="28"/>
          <w:szCs w:val="28"/>
        </w:rPr>
        <w:t>3</w:t>
      </w:r>
      <w:r w:rsidRPr="00E6049C">
        <w:rPr>
          <w:sz w:val="28"/>
          <w:szCs w:val="28"/>
        </w:rPr>
        <w:t xml:space="preserve"> тыс. рублей</w:t>
      </w:r>
      <w:r w:rsidR="005A7DF9" w:rsidRPr="00E6049C">
        <w:rPr>
          <w:sz w:val="28"/>
          <w:szCs w:val="28"/>
        </w:rPr>
        <w:t>(прогноз)</w:t>
      </w:r>
      <w:r w:rsidRPr="00E6049C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E6049C">
        <w:rPr>
          <w:sz w:val="28"/>
          <w:szCs w:val="28"/>
        </w:rPr>
        <w:tab/>
        <w:t>- на 20</w:t>
      </w:r>
      <w:r w:rsidR="00C55CE7" w:rsidRPr="00E6049C">
        <w:rPr>
          <w:sz w:val="28"/>
          <w:szCs w:val="28"/>
        </w:rPr>
        <w:t>21</w:t>
      </w:r>
      <w:r w:rsidRPr="00E6049C">
        <w:rPr>
          <w:sz w:val="28"/>
          <w:szCs w:val="28"/>
        </w:rPr>
        <w:t xml:space="preserve"> год – </w:t>
      </w:r>
      <w:r w:rsidR="00E6049C" w:rsidRPr="00E6049C">
        <w:rPr>
          <w:sz w:val="28"/>
          <w:szCs w:val="28"/>
        </w:rPr>
        <w:t>655,2568</w:t>
      </w:r>
      <w:r w:rsidR="00E6049C">
        <w:rPr>
          <w:sz w:val="28"/>
          <w:szCs w:val="28"/>
        </w:rPr>
        <w:t>3</w:t>
      </w:r>
      <w:r w:rsidRPr="00E6049C">
        <w:rPr>
          <w:sz w:val="28"/>
          <w:szCs w:val="28"/>
        </w:rPr>
        <w:t xml:space="preserve"> тыс. рублей</w:t>
      </w:r>
      <w:r w:rsidR="005A7DF9" w:rsidRPr="00E6049C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8F1EF6">
        <w:t>Кандабулак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8F1EF6">
        <w:t>Кандабулак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8F1EF6">
        <w:t>Кандабулак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8F1EF6">
        <w:rPr>
          <w:sz w:val="28"/>
        </w:rPr>
        <w:t>Кандабулак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8F1EF6">
        <w:rPr>
          <w:sz w:val="28"/>
          <w:szCs w:val="28"/>
        </w:rPr>
        <w:t>Кандабулак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8F1EF6">
        <w:t>Кандабулак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8F1EF6">
        <w:t>Кандабулак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62731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14" w:rsidRDefault="005B4614" w:rsidP="000B725F">
      <w:r>
        <w:separator/>
      </w:r>
    </w:p>
  </w:endnote>
  <w:endnote w:type="continuationSeparator" w:id="0">
    <w:p w:rsidR="005B4614" w:rsidRDefault="005B4614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15" w:rsidRDefault="00DD5BD4">
    <w:pPr>
      <w:pStyle w:val="a8"/>
      <w:jc w:val="center"/>
    </w:pPr>
    <w:r>
      <w:fldChar w:fldCharType="begin"/>
    </w:r>
    <w:r w:rsidR="00627315">
      <w:instrText>PAGE   \* MERGEFORMAT</w:instrText>
    </w:r>
    <w:r>
      <w:fldChar w:fldCharType="separate"/>
    </w:r>
    <w:r w:rsidR="007D7154">
      <w:rPr>
        <w:noProof/>
      </w:rPr>
      <w:t>8</w:t>
    </w:r>
    <w:r>
      <w:fldChar w:fldCharType="end"/>
    </w:r>
  </w:p>
  <w:p w:rsidR="00627315" w:rsidRDefault="00627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14" w:rsidRDefault="005B4614" w:rsidP="000B725F">
      <w:r>
        <w:separator/>
      </w:r>
    </w:p>
  </w:footnote>
  <w:footnote w:type="continuationSeparator" w:id="0">
    <w:p w:rsidR="005B4614" w:rsidRDefault="005B4614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88"/>
    <w:rsid w:val="000127AF"/>
    <w:rsid w:val="000B725F"/>
    <w:rsid w:val="00193F9A"/>
    <w:rsid w:val="001E137D"/>
    <w:rsid w:val="001F3FB2"/>
    <w:rsid w:val="002250A4"/>
    <w:rsid w:val="002B1BB8"/>
    <w:rsid w:val="003035F9"/>
    <w:rsid w:val="00330844"/>
    <w:rsid w:val="003520EB"/>
    <w:rsid w:val="004D76CC"/>
    <w:rsid w:val="00562C22"/>
    <w:rsid w:val="005A4764"/>
    <w:rsid w:val="005A7DF9"/>
    <w:rsid w:val="005B4614"/>
    <w:rsid w:val="00605911"/>
    <w:rsid w:val="00627315"/>
    <w:rsid w:val="00690A19"/>
    <w:rsid w:val="006A054B"/>
    <w:rsid w:val="006B7714"/>
    <w:rsid w:val="007033EE"/>
    <w:rsid w:val="00783A7F"/>
    <w:rsid w:val="007C4A28"/>
    <w:rsid w:val="007D7154"/>
    <w:rsid w:val="0080308F"/>
    <w:rsid w:val="00872EE6"/>
    <w:rsid w:val="008F1EF6"/>
    <w:rsid w:val="00977E67"/>
    <w:rsid w:val="00A14A0C"/>
    <w:rsid w:val="00AA612B"/>
    <w:rsid w:val="00AD547E"/>
    <w:rsid w:val="00AE1951"/>
    <w:rsid w:val="00BF4DC5"/>
    <w:rsid w:val="00C55CE7"/>
    <w:rsid w:val="00DA01AD"/>
    <w:rsid w:val="00DD5BD4"/>
    <w:rsid w:val="00DE1CE4"/>
    <w:rsid w:val="00E15D88"/>
    <w:rsid w:val="00E24D6B"/>
    <w:rsid w:val="00E46B55"/>
    <w:rsid w:val="00E6049C"/>
    <w:rsid w:val="00EB13D9"/>
    <w:rsid w:val="00EB2058"/>
    <w:rsid w:val="00EF4F38"/>
    <w:rsid w:val="00F85C79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F85C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85C7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F85C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85C7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2019-01-18T11:18:00Z</cp:lastPrinted>
  <dcterms:created xsi:type="dcterms:W3CDTF">2019-01-22T05:04:00Z</dcterms:created>
  <dcterms:modified xsi:type="dcterms:W3CDTF">2019-01-22T05:04:00Z</dcterms:modified>
</cp:coreProperties>
</file>